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511" w:rsidRDefault="00E57511" w:rsidP="00E57511">
      <w:pPr>
        <w:spacing w:line="360" w:lineRule="auto"/>
        <w:rPr>
          <w:rFonts w:ascii="黑体" w:eastAsia="黑体" w:hAnsi="黑体" w:cs="Times New Roman"/>
          <w:b/>
          <w:bCs/>
          <w:color w:val="000000"/>
          <w:sz w:val="32"/>
          <w:szCs w:val="32"/>
        </w:rPr>
      </w:pPr>
      <w:r>
        <w:rPr>
          <w:rFonts w:ascii="黑体" w:eastAsia="黑体" w:hAnsi="黑体" w:cs="Times New Roman" w:hint="eastAsia"/>
          <w:b/>
          <w:bCs/>
          <w:color w:val="000000"/>
          <w:sz w:val="32"/>
          <w:szCs w:val="32"/>
        </w:rPr>
        <w:t>附件</w:t>
      </w:r>
      <w:r>
        <w:rPr>
          <w:rFonts w:ascii="黑体" w:eastAsia="黑体" w:hAnsi="黑体" w:hint="eastAsia"/>
          <w:b/>
          <w:bCs/>
          <w:color w:val="000000"/>
          <w:sz w:val="32"/>
          <w:szCs w:val="32"/>
        </w:rPr>
        <w:t>三</w:t>
      </w:r>
    </w:p>
    <w:p w:rsidR="00E57511" w:rsidRDefault="00E57511" w:rsidP="00E57511">
      <w:pPr>
        <w:spacing w:line="360" w:lineRule="auto"/>
        <w:jc w:val="center"/>
        <w:rPr>
          <w:rFonts w:ascii="Calibri" w:eastAsia="宋体" w:hAnsi="宋体" w:cs="Times New Roman" w:hint="eastAsia"/>
          <w:b/>
          <w:bCs/>
          <w:color w:val="000000"/>
          <w:sz w:val="36"/>
          <w:szCs w:val="36"/>
        </w:rPr>
      </w:pPr>
    </w:p>
    <w:p w:rsidR="00E57511" w:rsidRDefault="00E57511" w:rsidP="00E57511">
      <w:pPr>
        <w:spacing w:line="360" w:lineRule="auto"/>
        <w:jc w:val="center"/>
        <w:rPr>
          <w:rFonts w:ascii="Calibri" w:eastAsia="宋体" w:hAnsi="宋体" w:cs="Times New Roman"/>
          <w:b/>
          <w:bCs/>
          <w:color w:val="000000"/>
          <w:sz w:val="36"/>
          <w:szCs w:val="36"/>
        </w:rPr>
      </w:pPr>
    </w:p>
    <w:p w:rsidR="00E57511" w:rsidRDefault="00E57511" w:rsidP="00E57511">
      <w:pPr>
        <w:spacing w:line="360" w:lineRule="auto"/>
        <w:jc w:val="center"/>
        <w:rPr>
          <w:rFonts w:ascii="Calibri" w:eastAsia="宋体" w:hAnsi="宋体" w:cs="Times New Roman"/>
          <w:b/>
          <w:bCs/>
          <w:color w:val="000000"/>
          <w:sz w:val="36"/>
          <w:szCs w:val="36"/>
        </w:rPr>
      </w:pPr>
    </w:p>
    <w:p w:rsidR="00E57511" w:rsidRDefault="00E57511" w:rsidP="00E57511">
      <w:pPr>
        <w:spacing w:line="360" w:lineRule="auto"/>
        <w:jc w:val="center"/>
        <w:rPr>
          <w:rFonts w:ascii="Calibri" w:eastAsia="宋体" w:hAnsi="宋体" w:cs="Times New Roman"/>
          <w:b/>
          <w:bCs/>
          <w:color w:val="000000"/>
          <w:sz w:val="36"/>
          <w:szCs w:val="36"/>
        </w:rPr>
      </w:pPr>
    </w:p>
    <w:p w:rsidR="00E57511" w:rsidRDefault="00E57511" w:rsidP="00E57511">
      <w:pPr>
        <w:spacing w:line="360" w:lineRule="auto"/>
        <w:jc w:val="center"/>
        <w:rPr>
          <w:rFonts w:ascii="Calibri" w:eastAsia="宋体" w:hAnsi="宋体" w:cs="Times New Roman"/>
          <w:b/>
          <w:bCs/>
          <w:color w:val="000000"/>
          <w:sz w:val="36"/>
          <w:szCs w:val="36"/>
        </w:rPr>
      </w:pPr>
    </w:p>
    <w:p w:rsidR="00E57511" w:rsidRDefault="00E57511" w:rsidP="00E57511">
      <w:pPr>
        <w:spacing w:line="360" w:lineRule="auto"/>
        <w:jc w:val="center"/>
        <w:rPr>
          <w:rFonts w:ascii="宋体" w:eastAsia="宋体" w:hAnsi="宋体" w:cs="Times New Roman"/>
          <w:b/>
          <w:color w:val="000000"/>
          <w:sz w:val="40"/>
          <w:szCs w:val="40"/>
        </w:rPr>
      </w:pPr>
      <w:r>
        <w:rPr>
          <w:rFonts w:hAnsi="宋体" w:hint="eastAsia"/>
          <w:b/>
          <w:bCs/>
          <w:color w:val="000000"/>
          <w:sz w:val="40"/>
          <w:szCs w:val="40"/>
        </w:rPr>
        <w:t>德惠市人民政府</w:t>
      </w:r>
    </w:p>
    <w:p w:rsidR="00E57511" w:rsidRDefault="00E57511" w:rsidP="00E57511">
      <w:pPr>
        <w:spacing w:line="360" w:lineRule="auto"/>
        <w:jc w:val="center"/>
        <w:rPr>
          <w:rFonts w:ascii="宋体" w:eastAsia="宋体" w:hAnsi="宋体" w:cs="Times New Roman" w:hint="eastAsia"/>
          <w:b/>
          <w:color w:val="000000"/>
          <w:sz w:val="48"/>
          <w:szCs w:val="44"/>
        </w:rPr>
      </w:pPr>
    </w:p>
    <w:p w:rsidR="00E57511" w:rsidRDefault="00E57511" w:rsidP="00E57511">
      <w:pPr>
        <w:pStyle w:val="a5"/>
        <w:spacing w:line="360" w:lineRule="auto"/>
        <w:rPr>
          <w:rFonts w:ascii="华文中宋" w:eastAsia="华文中宋" w:hAnsi="华文中宋" w:hint="eastAsia"/>
          <w:b/>
          <w:bCs/>
          <w:color w:val="000000"/>
          <w:sz w:val="36"/>
          <w:szCs w:val="36"/>
        </w:rPr>
      </w:pPr>
    </w:p>
    <w:p w:rsidR="00E57511" w:rsidRDefault="00E57511" w:rsidP="00E57511">
      <w:pPr>
        <w:pStyle w:val="a5"/>
        <w:spacing w:line="360" w:lineRule="auto"/>
        <w:rPr>
          <w:rFonts w:hAnsi="宋体" w:hint="eastAsia"/>
          <w:b/>
          <w:bCs/>
          <w:color w:val="000000"/>
          <w:sz w:val="74"/>
          <w:szCs w:val="74"/>
        </w:rPr>
      </w:pPr>
      <w:r>
        <w:rPr>
          <w:rFonts w:hAnsi="宋体" w:hint="eastAsia"/>
          <w:b/>
          <w:bCs/>
          <w:color w:val="000000"/>
          <w:sz w:val="74"/>
          <w:szCs w:val="74"/>
        </w:rPr>
        <w:t>土壤污染防治目标责任书</w:t>
      </w:r>
    </w:p>
    <w:p w:rsidR="00E57511" w:rsidRDefault="00E57511" w:rsidP="00E57511">
      <w:pPr>
        <w:pStyle w:val="a5"/>
        <w:spacing w:line="360" w:lineRule="auto"/>
        <w:rPr>
          <w:rFonts w:hAnsi="宋体" w:hint="eastAsia"/>
          <w:b/>
          <w:bCs/>
          <w:color w:val="000000"/>
          <w:sz w:val="48"/>
          <w:szCs w:val="48"/>
        </w:rPr>
      </w:pPr>
    </w:p>
    <w:p w:rsidR="00E57511" w:rsidRDefault="00E57511" w:rsidP="00E57511">
      <w:pPr>
        <w:pStyle w:val="a5"/>
        <w:spacing w:line="360" w:lineRule="auto"/>
        <w:rPr>
          <w:rFonts w:hAnsi="宋体" w:hint="eastAsia"/>
          <w:b/>
          <w:bCs/>
          <w:color w:val="000000"/>
          <w:sz w:val="48"/>
          <w:szCs w:val="48"/>
        </w:rPr>
      </w:pPr>
    </w:p>
    <w:p w:rsidR="00E57511" w:rsidRDefault="00E57511" w:rsidP="00E57511">
      <w:pPr>
        <w:pStyle w:val="a5"/>
        <w:spacing w:line="360" w:lineRule="auto"/>
        <w:rPr>
          <w:rFonts w:hAnsi="宋体" w:hint="eastAsia"/>
          <w:b/>
          <w:bCs/>
          <w:color w:val="000000"/>
          <w:sz w:val="48"/>
          <w:szCs w:val="48"/>
        </w:rPr>
      </w:pPr>
    </w:p>
    <w:p w:rsidR="00E57511" w:rsidRDefault="00E57511" w:rsidP="00E57511">
      <w:pPr>
        <w:pStyle w:val="a5"/>
        <w:spacing w:line="360" w:lineRule="auto"/>
        <w:jc w:val="center"/>
        <w:rPr>
          <w:rFonts w:hAnsi="宋体" w:hint="eastAsia"/>
          <w:b/>
          <w:bCs/>
          <w:color w:val="000000"/>
          <w:sz w:val="48"/>
          <w:szCs w:val="48"/>
        </w:rPr>
      </w:pPr>
      <w:r>
        <w:rPr>
          <w:rFonts w:hAnsi="宋体" w:hint="eastAsia"/>
          <w:b/>
          <w:bCs/>
          <w:color w:val="000000"/>
          <w:sz w:val="48"/>
          <w:szCs w:val="48"/>
        </w:rPr>
        <w:t>2017年</w:t>
      </w:r>
    </w:p>
    <w:p w:rsidR="00E57511" w:rsidRDefault="00E57511" w:rsidP="00E57511">
      <w:pPr>
        <w:pStyle w:val="a5"/>
        <w:spacing w:line="360" w:lineRule="auto"/>
        <w:jc w:val="center"/>
        <w:rPr>
          <w:rFonts w:ascii="华文中宋" w:eastAsia="华文中宋" w:hAnsi="华文中宋" w:hint="eastAsia"/>
          <w:b/>
          <w:bCs/>
          <w:color w:val="000000"/>
          <w:sz w:val="36"/>
          <w:szCs w:val="36"/>
        </w:rPr>
      </w:pPr>
    </w:p>
    <w:p w:rsidR="00E57511" w:rsidRDefault="00E57511" w:rsidP="00E57511">
      <w:pPr>
        <w:pStyle w:val="a5"/>
        <w:spacing w:line="360" w:lineRule="auto"/>
        <w:jc w:val="center"/>
        <w:rPr>
          <w:rFonts w:ascii="华文中宋" w:eastAsia="华文中宋" w:hAnsi="华文中宋" w:hint="eastAsia"/>
          <w:b/>
          <w:bCs/>
          <w:color w:val="000000"/>
          <w:sz w:val="36"/>
          <w:szCs w:val="36"/>
        </w:rPr>
      </w:pPr>
    </w:p>
    <w:p w:rsidR="00E57511" w:rsidRDefault="00E57511" w:rsidP="00E57511">
      <w:pPr>
        <w:pStyle w:val="a5"/>
        <w:spacing w:line="360" w:lineRule="auto"/>
        <w:jc w:val="center"/>
        <w:rPr>
          <w:rFonts w:ascii="华文中宋" w:eastAsia="华文中宋" w:hAnsi="华文中宋" w:hint="eastAsia"/>
          <w:b/>
          <w:bCs/>
          <w:color w:val="000000"/>
          <w:sz w:val="36"/>
          <w:szCs w:val="36"/>
        </w:rPr>
      </w:pPr>
    </w:p>
    <w:p w:rsidR="00E57511" w:rsidRDefault="00E57511" w:rsidP="00E57511">
      <w:pPr>
        <w:pStyle w:val="a5"/>
        <w:spacing w:line="360" w:lineRule="auto"/>
        <w:jc w:val="center"/>
        <w:rPr>
          <w:rFonts w:ascii="华文中宋" w:eastAsia="华文中宋" w:hAnsi="华文中宋" w:hint="eastAsia"/>
          <w:b/>
          <w:bCs/>
          <w:color w:val="000000"/>
          <w:sz w:val="36"/>
          <w:szCs w:val="36"/>
        </w:rPr>
      </w:pPr>
    </w:p>
    <w:p w:rsidR="00E57511" w:rsidRDefault="00E57511" w:rsidP="00E57511">
      <w:pPr>
        <w:pStyle w:val="a5"/>
        <w:spacing w:line="360" w:lineRule="auto"/>
        <w:jc w:val="center"/>
        <w:rPr>
          <w:rFonts w:ascii="华文中宋" w:eastAsia="华文中宋" w:hAnsi="华文中宋" w:hint="eastAsia"/>
          <w:b/>
          <w:bCs/>
          <w:color w:val="000000"/>
          <w:sz w:val="36"/>
          <w:szCs w:val="36"/>
        </w:rPr>
      </w:pPr>
    </w:p>
    <w:p w:rsidR="00E57511" w:rsidRDefault="00E57511" w:rsidP="00E57511">
      <w:pPr>
        <w:pStyle w:val="a5"/>
        <w:spacing w:line="360" w:lineRule="auto"/>
        <w:jc w:val="center"/>
        <w:rPr>
          <w:rFonts w:ascii="华文中宋" w:eastAsia="华文中宋" w:hAnsi="华文中宋" w:hint="eastAsia"/>
          <w:b/>
          <w:bCs/>
          <w:color w:val="000000"/>
          <w:sz w:val="36"/>
          <w:szCs w:val="36"/>
        </w:rPr>
      </w:pPr>
    </w:p>
    <w:p w:rsidR="00E57511" w:rsidRDefault="00E57511" w:rsidP="00E57511">
      <w:pPr>
        <w:pStyle w:val="a5"/>
        <w:spacing w:line="360" w:lineRule="auto"/>
        <w:jc w:val="center"/>
        <w:rPr>
          <w:rFonts w:ascii="华文中宋" w:eastAsia="华文中宋" w:hAnsi="华文中宋" w:hint="eastAsia"/>
          <w:b/>
          <w:bCs/>
          <w:color w:val="000000"/>
          <w:sz w:val="36"/>
          <w:szCs w:val="36"/>
        </w:rPr>
      </w:pPr>
    </w:p>
    <w:p w:rsidR="00FC6E87" w:rsidRDefault="00FC6E87" w:rsidP="00FC6E87">
      <w:pPr>
        <w:ind w:firstLineChars="200" w:firstLine="640"/>
        <w:rPr>
          <w:rFonts w:ascii="仿宋_GB2312" w:eastAsia="仿宋_GB2312"/>
          <w:sz w:val="32"/>
          <w:szCs w:val="32"/>
        </w:rPr>
      </w:pPr>
      <w:r>
        <w:rPr>
          <w:rFonts w:ascii="仿宋_GB2312" w:eastAsia="仿宋_GB2312" w:hint="eastAsia"/>
          <w:sz w:val="32"/>
          <w:szCs w:val="32"/>
        </w:rPr>
        <w:lastRenderedPageBreak/>
        <w:t>为贯彻实施《吉林省清洁土壤行动计划》和《长春市落实土壤污染防治行动计划工作方案》，落实目标责任，强化监督管理，确保完成土壤污染防治年度工作任务。长春市人民政府与</w:t>
      </w:r>
      <w:r w:rsidR="002B1B0E">
        <w:rPr>
          <w:rFonts w:ascii="仿宋_GB2312" w:eastAsia="仿宋_GB2312" w:hint="eastAsia"/>
          <w:sz w:val="32"/>
          <w:szCs w:val="32"/>
        </w:rPr>
        <w:t>德惠市</w:t>
      </w:r>
      <w:r>
        <w:rPr>
          <w:rFonts w:ascii="仿宋_GB2312" w:eastAsia="仿宋_GB2312" w:hint="eastAsia"/>
          <w:sz w:val="32"/>
          <w:szCs w:val="32"/>
        </w:rPr>
        <w:t>人民政府签订2017年土壤污染防治目标责任书。具体目标和要求如下：</w:t>
      </w:r>
    </w:p>
    <w:p w:rsidR="00FC6E87" w:rsidRPr="00E63B0D" w:rsidRDefault="00FC6E87" w:rsidP="00FC6E87">
      <w:pPr>
        <w:ind w:firstLineChars="200" w:firstLine="643"/>
        <w:rPr>
          <w:rFonts w:ascii="仿宋_GB2312" w:eastAsia="仿宋_GB2312"/>
          <w:b/>
          <w:sz w:val="32"/>
          <w:szCs w:val="32"/>
        </w:rPr>
      </w:pPr>
      <w:r w:rsidRPr="00AC0F35">
        <w:rPr>
          <w:rFonts w:ascii="仿宋_GB2312" w:eastAsia="仿宋_GB2312" w:hint="eastAsia"/>
          <w:b/>
          <w:sz w:val="32"/>
          <w:szCs w:val="32"/>
        </w:rPr>
        <w:t>一、</w:t>
      </w:r>
      <w:r>
        <w:rPr>
          <w:rFonts w:ascii="仿宋_GB2312" w:eastAsia="仿宋_GB2312" w:hint="eastAsia"/>
          <w:sz w:val="32"/>
          <w:szCs w:val="32"/>
        </w:rPr>
        <w:t>制定并发布《</w:t>
      </w:r>
      <w:r w:rsidR="002B1B0E">
        <w:rPr>
          <w:rFonts w:ascii="仿宋_GB2312" w:eastAsia="仿宋_GB2312" w:hint="eastAsia"/>
          <w:sz w:val="32"/>
          <w:szCs w:val="32"/>
        </w:rPr>
        <w:t>德惠市</w:t>
      </w:r>
      <w:r>
        <w:rPr>
          <w:rFonts w:ascii="仿宋_GB2312" w:eastAsia="仿宋_GB2312" w:hint="eastAsia"/>
          <w:sz w:val="32"/>
          <w:szCs w:val="32"/>
        </w:rPr>
        <w:t>落实土壤污染防治行动计划工作方案》。坚持预防为主，保护优先，风险管控的基本思路。以土壤详查为基础，以农用地分类管理和建设用地准入管理为重点，实施未污染、正受污染和已污染的土壤防治和风险管控；加大科技支撑，发挥政府主导作用，强化目标考核，全面开展土壤污染防治工作。</w:t>
      </w:r>
    </w:p>
    <w:p w:rsidR="00FC6E87" w:rsidRDefault="00FC6E87" w:rsidP="00FC6E87">
      <w:pPr>
        <w:ind w:firstLineChars="200" w:firstLine="640"/>
        <w:rPr>
          <w:rFonts w:ascii="仿宋_GB2312" w:eastAsia="仿宋_GB2312" w:hAnsi="仿宋" w:cs="仿宋_GB2312"/>
          <w:sz w:val="32"/>
          <w:szCs w:val="32"/>
        </w:rPr>
      </w:pPr>
      <w:r>
        <w:rPr>
          <w:rFonts w:ascii="仿宋_GB2312" w:eastAsia="仿宋_GB2312" w:hint="eastAsia"/>
          <w:sz w:val="32"/>
          <w:szCs w:val="32"/>
        </w:rPr>
        <w:t>二、按省、市统一部署，制定土壤污染详查方案，布设农用地详查监测点位，核实点位信息，实施农用地详查土壤样品采集，以耕地为重点开展农用地污染详查</w:t>
      </w:r>
      <w:r>
        <w:rPr>
          <w:rFonts w:eastAsia="仿宋_GB2312" w:cs="仿宋_GB2312" w:hint="eastAsia"/>
          <w:sz w:val="32"/>
          <w:szCs w:val="32"/>
        </w:rPr>
        <w:t>。</w:t>
      </w:r>
    </w:p>
    <w:p w:rsidR="00FC6E87" w:rsidRDefault="00FC6E87" w:rsidP="00FC6E87">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三、在重点行业企业遥感信息核实的基础上，开展</w:t>
      </w:r>
      <w:r w:rsidRPr="006C6842">
        <w:rPr>
          <w:rFonts w:ascii="仿宋_GB2312" w:eastAsia="仿宋_GB2312" w:hAnsi="仿宋" w:cs="仿宋_GB2312"/>
          <w:sz w:val="32"/>
          <w:szCs w:val="32"/>
        </w:rPr>
        <w:t>有色金属矿采选、有色金属冶炼、石油开采、石油加工、化工、焦化、电镀、制革、车辆及含表面涂装工艺的零部件制造、玉米深加工、火电、化学和生物制药、危险废物处置等重点行业企业</w:t>
      </w:r>
      <w:r>
        <w:rPr>
          <w:rFonts w:ascii="仿宋_GB2312" w:eastAsia="仿宋_GB2312" w:hAnsi="仿宋" w:cs="仿宋_GB2312" w:hint="eastAsia"/>
          <w:sz w:val="32"/>
          <w:szCs w:val="32"/>
        </w:rPr>
        <w:t>排查，建立重点行业企业清单，并实行动态更新。</w:t>
      </w:r>
      <w:r w:rsidR="00894AC9">
        <w:rPr>
          <w:rFonts w:ascii="仿宋_GB2312" w:eastAsia="仿宋_GB2312" w:hAnsi="仿宋" w:cs="仿宋_GB2312" w:hint="eastAsia"/>
          <w:sz w:val="32"/>
          <w:szCs w:val="32"/>
        </w:rPr>
        <w:t>2017年起，与重点行业企业签订土壤污染防治责任书，明确相关措施和责任，并向社会公开</w:t>
      </w:r>
    </w:p>
    <w:p w:rsidR="00FC6E87" w:rsidRDefault="00FC6E87" w:rsidP="00FC6E87">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四、按省、市统一部署，开展重点行业企业详查点位信</w:t>
      </w:r>
      <w:r>
        <w:rPr>
          <w:rFonts w:ascii="仿宋_GB2312" w:eastAsia="仿宋_GB2312" w:hAnsi="仿宋" w:cs="仿宋_GB2312" w:hint="eastAsia"/>
          <w:sz w:val="32"/>
          <w:szCs w:val="32"/>
        </w:rPr>
        <w:lastRenderedPageBreak/>
        <w:t>息核实和点位布设，启动重点行业企业用地详查。</w:t>
      </w:r>
    </w:p>
    <w:p w:rsidR="00FC6E87" w:rsidRDefault="00FC6E87" w:rsidP="00FC6E87">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五、落实调查评估制度。</w:t>
      </w:r>
      <w:r w:rsidRPr="00783399">
        <w:rPr>
          <w:rFonts w:ascii="仿宋_GB2312" w:eastAsia="仿宋_GB2312" w:hAnsi="仿宋" w:cs="仿宋_GB2312"/>
          <w:sz w:val="32"/>
          <w:szCs w:val="32"/>
        </w:rPr>
        <w:t>对拟收回土地使用权的企业用地，以及用途拟变更为居住和商业、学校、医疗、养老机构等公共设施的企业用地，由土地使用权人负责开展土壤环境状况调查评估；已经收回的，由政府负责开展调查评估</w:t>
      </w:r>
      <w:r>
        <w:rPr>
          <w:rFonts w:ascii="仿宋_GB2312" w:eastAsia="仿宋_GB2312" w:hAnsi="仿宋" w:cs="仿宋_GB2312" w:hint="eastAsia"/>
          <w:sz w:val="32"/>
          <w:szCs w:val="32"/>
        </w:rPr>
        <w:t>，</w:t>
      </w:r>
      <w:r w:rsidRPr="00783399">
        <w:rPr>
          <w:rFonts w:ascii="仿宋_GB2312" w:eastAsia="仿宋_GB2312" w:hAnsi="仿宋" w:cs="仿宋_GB2312"/>
          <w:sz w:val="32"/>
          <w:szCs w:val="32"/>
        </w:rPr>
        <w:t>调查评估结果向市级环境保护、城乡规划、国土资源部门备案。</w:t>
      </w:r>
    </w:p>
    <w:p w:rsidR="00FC6E87" w:rsidRDefault="00FC6E87" w:rsidP="00FC6E87">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六、</w:t>
      </w:r>
      <w:r w:rsidRPr="002F3351">
        <w:rPr>
          <w:rFonts w:ascii="仿宋_GB2312" w:eastAsia="仿宋_GB2312" w:hAnsi="仿宋" w:cs="仿宋_GB2312" w:hint="eastAsia"/>
          <w:sz w:val="32"/>
          <w:szCs w:val="32"/>
        </w:rPr>
        <w:t>严格建设用地准入管理</w:t>
      </w:r>
      <w:r>
        <w:rPr>
          <w:rFonts w:ascii="仿宋_GB2312" w:eastAsia="仿宋_GB2312" w:hAnsi="仿宋" w:cs="仿宋_GB2312" w:hint="eastAsia"/>
          <w:sz w:val="32"/>
          <w:szCs w:val="32"/>
        </w:rPr>
        <w:t>。</w:t>
      </w:r>
      <w:r w:rsidRPr="00783399">
        <w:rPr>
          <w:rFonts w:ascii="仿宋_GB2312" w:eastAsia="仿宋_GB2312" w:hAnsi="仿宋" w:cs="仿宋_GB2312"/>
          <w:sz w:val="32"/>
          <w:szCs w:val="32"/>
        </w:rPr>
        <w:t>加强土地收储和流转、规划选址等环节的审查把关，防止未按要求进行调查评估、环境风险管控不到位、治理修复不符合要求的污染地块被开发利用。切实保障住宅、商服、公共管理与公共服务用地的环境安全。对暂不开发利用或治理修复条件的，要组织划定管控区域、督促落实禁止或限制开发要求。</w:t>
      </w:r>
    </w:p>
    <w:p w:rsidR="00FC6E87" w:rsidRDefault="00FC6E87" w:rsidP="00FC6E87">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七、</w:t>
      </w:r>
      <w:r w:rsidRPr="002F3351">
        <w:rPr>
          <w:rFonts w:ascii="仿宋_GB2312" w:eastAsia="仿宋_GB2312" w:hAnsi="仿宋" w:cs="仿宋_GB2312" w:hint="eastAsia"/>
          <w:sz w:val="32"/>
          <w:szCs w:val="32"/>
        </w:rPr>
        <w:t>强化未污染土地保护</w:t>
      </w:r>
      <w:r>
        <w:rPr>
          <w:rFonts w:ascii="仿宋_GB2312" w:eastAsia="仿宋_GB2312" w:hAnsi="仿宋" w:cs="仿宋_GB2312" w:hint="eastAsia"/>
          <w:sz w:val="32"/>
          <w:szCs w:val="32"/>
        </w:rPr>
        <w:t>。</w:t>
      </w:r>
      <w:r w:rsidRPr="00783399">
        <w:rPr>
          <w:rFonts w:ascii="仿宋_GB2312" w:eastAsia="仿宋_GB2312" w:hAnsi="仿宋" w:cs="仿宋_GB2312"/>
          <w:sz w:val="32"/>
          <w:szCs w:val="32"/>
        </w:rPr>
        <w:t>拟开发为农用地的，要组织开展土壤环境质量状况评估；不符合相应标准的，不得种植食用农产品。依法严查向滩涂、盐碱地、沼泽地等未利用地非法排污、倾倒有毒有害物质的环境违法行为。加强对矿山、油田等矿产资源开采活动影响区域内未利用地的环境监管，发现土壤污染问题的，要及时督促有关企业采取防治措施。</w:t>
      </w:r>
    </w:p>
    <w:p w:rsidR="00FC6E87" w:rsidRDefault="00FC6E87" w:rsidP="00FC6E87">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八、</w:t>
      </w:r>
      <w:r w:rsidRPr="00E71A8E">
        <w:rPr>
          <w:rFonts w:ascii="仿宋_GB2312" w:eastAsia="仿宋_GB2312" w:hAnsi="仿宋" w:cs="仿宋_GB2312" w:hint="eastAsia"/>
          <w:sz w:val="32"/>
          <w:szCs w:val="32"/>
        </w:rPr>
        <w:t>明确建设用地风险管控要求</w:t>
      </w:r>
      <w:r>
        <w:rPr>
          <w:rFonts w:ascii="仿宋_GB2312" w:eastAsia="仿宋_GB2312" w:hAnsi="仿宋" w:cs="仿宋_GB2312" w:hint="eastAsia"/>
          <w:sz w:val="32"/>
          <w:szCs w:val="32"/>
        </w:rPr>
        <w:t>。</w:t>
      </w:r>
      <w:r w:rsidRPr="000A6B3A">
        <w:rPr>
          <w:rFonts w:ascii="仿宋_GB2312" w:eastAsia="仿宋_GB2312" w:hAnsi="仿宋" w:cs="仿宋_GB2312"/>
          <w:sz w:val="32"/>
          <w:szCs w:val="32"/>
        </w:rPr>
        <w:t>暂不开发利用的</w:t>
      </w:r>
      <w:r>
        <w:rPr>
          <w:rFonts w:ascii="仿宋_GB2312" w:eastAsia="仿宋_GB2312" w:hAnsi="仿宋" w:cs="仿宋_GB2312" w:hint="eastAsia"/>
          <w:sz w:val="32"/>
          <w:szCs w:val="32"/>
        </w:rPr>
        <w:t>污染地块</w:t>
      </w:r>
      <w:r w:rsidRPr="000A6B3A">
        <w:rPr>
          <w:rFonts w:ascii="仿宋_GB2312" w:eastAsia="仿宋_GB2312" w:hAnsi="仿宋" w:cs="仿宋_GB2312"/>
          <w:sz w:val="32"/>
          <w:szCs w:val="32"/>
        </w:rPr>
        <w:t>，或现阶段不具备治理修复条件的污染地块要组织划定管控区域，设立标识，发布公告，限制人员进入、禁止土壤扰动，制定周边影响区域环境保护方案，定期开展土壤、地</w:t>
      </w:r>
      <w:r w:rsidRPr="000A6B3A">
        <w:rPr>
          <w:rFonts w:ascii="仿宋_GB2312" w:eastAsia="仿宋_GB2312" w:hAnsi="仿宋" w:cs="仿宋_GB2312"/>
          <w:sz w:val="32"/>
          <w:szCs w:val="32"/>
        </w:rPr>
        <w:lastRenderedPageBreak/>
        <w:t>表水、地下水、空气环境监测；发现污染扩散的，相关责任方要清理残留污染，有关责任主体要制定环境风险管控方案，封闭污染区域，采取污染物隔离、阻断等工程和管理措施，防止污染进一步扩散。</w:t>
      </w:r>
    </w:p>
    <w:p w:rsidR="00FC6E87" w:rsidRDefault="00FC6E87" w:rsidP="00FC6E87">
      <w:pPr>
        <w:widowControl/>
        <w:ind w:firstLineChars="200" w:firstLine="640"/>
        <w:jc w:val="left"/>
        <w:rPr>
          <w:rFonts w:ascii="仿宋_GB2312" w:eastAsia="仿宋_GB2312" w:hAnsi="仿宋" w:cs="仿宋_GB2312"/>
          <w:sz w:val="32"/>
          <w:szCs w:val="32"/>
        </w:rPr>
      </w:pPr>
      <w:r>
        <w:rPr>
          <w:rFonts w:ascii="仿宋_GB2312" w:eastAsia="仿宋_GB2312" w:hAnsi="仿宋" w:cs="仿宋_GB2312" w:hint="eastAsia"/>
          <w:sz w:val="32"/>
          <w:szCs w:val="32"/>
        </w:rPr>
        <w:t>九、</w:t>
      </w:r>
      <w:r w:rsidRPr="00E71A8E">
        <w:rPr>
          <w:rFonts w:ascii="仿宋_GB2312" w:eastAsia="仿宋_GB2312" w:hAnsi="仿宋" w:cs="仿宋_GB2312" w:hint="eastAsia"/>
          <w:sz w:val="32"/>
          <w:szCs w:val="32"/>
        </w:rPr>
        <w:t>深化土壤污染源监管</w:t>
      </w:r>
      <w:r>
        <w:rPr>
          <w:rFonts w:ascii="仿宋_GB2312" w:eastAsia="仿宋_GB2312" w:hAnsi="仿宋" w:cs="仿宋_GB2312" w:hint="eastAsia"/>
          <w:sz w:val="32"/>
          <w:szCs w:val="32"/>
        </w:rPr>
        <w:t>。加强重点企业拆除过程监管，加强重金属污染防治，</w:t>
      </w:r>
      <w:r w:rsidRPr="00C829B3">
        <w:rPr>
          <w:rFonts w:ascii="仿宋_GB2312" w:eastAsia="仿宋_GB2312" w:hAnsi="仿宋" w:cs="仿宋_GB2312" w:hint="eastAsia"/>
          <w:sz w:val="32"/>
          <w:szCs w:val="32"/>
        </w:rPr>
        <w:t>重点整治</w:t>
      </w:r>
      <w:r w:rsidRPr="00C829B3">
        <w:rPr>
          <w:rFonts w:ascii="仿宋_GB2312" w:eastAsia="仿宋_GB2312" w:hAnsi="仿宋" w:cs="仿宋_GB2312"/>
          <w:sz w:val="32"/>
          <w:szCs w:val="32"/>
        </w:rPr>
        <w:t>大宗固体废物</w:t>
      </w:r>
      <w:r w:rsidRPr="00C829B3">
        <w:rPr>
          <w:rFonts w:ascii="仿宋_GB2312" w:eastAsia="仿宋_GB2312" w:hAnsi="仿宋" w:cs="仿宋_GB2312" w:hint="eastAsia"/>
          <w:sz w:val="32"/>
          <w:szCs w:val="32"/>
        </w:rPr>
        <w:t>堆存场所</w:t>
      </w:r>
      <w:r>
        <w:rPr>
          <w:rFonts w:ascii="仿宋_GB2312" w:eastAsia="仿宋_GB2312" w:hAnsi="仿宋" w:cs="仿宋_GB2312" w:hint="eastAsia"/>
          <w:sz w:val="32"/>
          <w:szCs w:val="32"/>
        </w:rPr>
        <w:t>，</w:t>
      </w:r>
      <w:r w:rsidRPr="00C829B3">
        <w:rPr>
          <w:rFonts w:ascii="仿宋_GB2312" w:eastAsia="仿宋_GB2312" w:hAnsi="仿宋" w:cs="仿宋_GB2312"/>
          <w:sz w:val="32"/>
          <w:szCs w:val="32"/>
        </w:rPr>
        <w:t>全面整治危险废物、危险化学品暂存场所，规范废物处理处置活动，</w:t>
      </w:r>
      <w:r>
        <w:rPr>
          <w:rFonts w:ascii="仿宋_GB2312" w:eastAsia="仿宋_GB2312" w:hAnsi="仿宋" w:cs="仿宋_GB2312" w:hint="eastAsia"/>
          <w:sz w:val="32"/>
          <w:szCs w:val="32"/>
        </w:rPr>
        <w:t>加强污泥处理处理监管，加强生活垃圾污染控制，调查</w:t>
      </w:r>
      <w:r w:rsidRPr="00FD17D0">
        <w:rPr>
          <w:rFonts w:ascii="仿宋_GB2312" w:eastAsia="仿宋_GB2312" w:hAnsi="仿宋" w:cs="仿宋_GB2312"/>
          <w:sz w:val="32"/>
          <w:szCs w:val="32"/>
        </w:rPr>
        <w:t>评估</w:t>
      </w:r>
      <w:r>
        <w:rPr>
          <w:rFonts w:ascii="仿宋_GB2312" w:eastAsia="仿宋_GB2312" w:hAnsi="仿宋" w:cs="仿宋_GB2312" w:hint="eastAsia"/>
          <w:sz w:val="32"/>
          <w:szCs w:val="32"/>
        </w:rPr>
        <w:t>辖区</w:t>
      </w:r>
      <w:r w:rsidRPr="00FD17D0">
        <w:rPr>
          <w:rFonts w:ascii="仿宋_GB2312" w:eastAsia="仿宋_GB2312" w:hAnsi="仿宋" w:cs="仿宋_GB2312"/>
          <w:sz w:val="32"/>
          <w:szCs w:val="32"/>
        </w:rPr>
        <w:t>在用、停用和已封场的生活垃圾填埋场周边土壤环境状况</w:t>
      </w:r>
      <w:r>
        <w:rPr>
          <w:rFonts w:ascii="仿宋_GB2312" w:eastAsia="仿宋_GB2312" w:hAnsi="仿宋" w:cs="仿宋_GB2312" w:hint="eastAsia"/>
          <w:sz w:val="32"/>
          <w:szCs w:val="32"/>
        </w:rPr>
        <w:t>，严防土壤和地下水污染。</w:t>
      </w:r>
    </w:p>
    <w:p w:rsidR="002646BE" w:rsidRDefault="002646BE" w:rsidP="002646BE">
      <w:pPr>
        <w:widowControl/>
        <w:ind w:firstLineChars="200" w:firstLine="640"/>
        <w:jc w:val="left"/>
        <w:rPr>
          <w:rFonts w:ascii="仿宋_GB2312" w:eastAsia="仿宋_GB2312" w:hAnsi="仿宋" w:cs="仿宋_GB2312"/>
          <w:sz w:val="32"/>
          <w:szCs w:val="32"/>
        </w:rPr>
      </w:pPr>
      <w:r w:rsidRPr="00252A65">
        <w:rPr>
          <w:rFonts w:ascii="仿宋_GB2312" w:eastAsia="仿宋_GB2312" w:hAnsi="仿宋" w:cs="仿宋_GB2312" w:hint="eastAsia"/>
          <w:sz w:val="32"/>
          <w:szCs w:val="32"/>
        </w:rPr>
        <w:t>十、</w:t>
      </w:r>
      <w:r>
        <w:rPr>
          <w:rFonts w:ascii="仿宋_GB2312" w:eastAsia="仿宋_GB2312" w:hAnsi="仿宋" w:cs="仿宋_GB2312" w:hint="eastAsia"/>
          <w:sz w:val="32"/>
          <w:szCs w:val="32"/>
        </w:rPr>
        <w:t>2017</w:t>
      </w:r>
      <w:r w:rsidRPr="00252A65">
        <w:rPr>
          <w:rFonts w:ascii="仿宋_GB2312" w:eastAsia="仿宋_GB2312" w:hAnsi="仿宋" w:cs="仿宋_GB2312" w:hint="eastAsia"/>
          <w:sz w:val="32"/>
          <w:szCs w:val="32"/>
        </w:rPr>
        <w:t>年底前，制定永久基本农田土壤环境保护方案。</w:t>
      </w:r>
    </w:p>
    <w:p w:rsidR="00FC6E87" w:rsidRDefault="00FC6E87" w:rsidP="002646BE">
      <w:pPr>
        <w:ind w:firstLineChars="200" w:firstLine="640"/>
        <w:rPr>
          <w:rFonts w:ascii="仿宋_GB2312" w:eastAsia="仿宋_GB2312"/>
          <w:sz w:val="32"/>
          <w:szCs w:val="32"/>
        </w:rPr>
      </w:pPr>
      <w:r>
        <w:rPr>
          <w:rFonts w:ascii="仿宋_GB2312" w:eastAsia="仿宋_GB2312" w:hAnsi="仿宋" w:cs="仿宋_GB2312" w:hint="eastAsia"/>
          <w:sz w:val="32"/>
          <w:szCs w:val="32"/>
        </w:rPr>
        <w:t>十</w:t>
      </w:r>
      <w:r w:rsidR="002646BE">
        <w:rPr>
          <w:rFonts w:ascii="仿宋_GB2312" w:eastAsia="仿宋_GB2312" w:hAnsi="仿宋" w:cs="仿宋_GB2312" w:hint="eastAsia"/>
          <w:sz w:val="32"/>
          <w:szCs w:val="32"/>
        </w:rPr>
        <w:t>一</w:t>
      </w:r>
      <w:r>
        <w:rPr>
          <w:rFonts w:ascii="仿宋_GB2312" w:eastAsia="仿宋_GB2312" w:hAnsi="仿宋" w:cs="仿宋_GB2312" w:hint="eastAsia"/>
          <w:sz w:val="32"/>
          <w:szCs w:val="32"/>
        </w:rPr>
        <w:t>、</w:t>
      </w:r>
      <w:r w:rsidRPr="00E71A8E">
        <w:rPr>
          <w:rFonts w:ascii="仿宋_GB2312" w:eastAsia="仿宋_GB2312" w:hAnsi="仿宋" w:cs="仿宋_GB2312" w:hint="eastAsia"/>
          <w:sz w:val="32"/>
          <w:szCs w:val="32"/>
        </w:rPr>
        <w:t>加强农业面源污染防控</w:t>
      </w:r>
      <w:r>
        <w:rPr>
          <w:rFonts w:ascii="仿宋_GB2312" w:eastAsia="仿宋_GB2312" w:hAnsi="仿宋" w:cs="仿宋_GB2312" w:hint="eastAsia"/>
          <w:sz w:val="32"/>
          <w:szCs w:val="32"/>
        </w:rPr>
        <w:t>。</w:t>
      </w:r>
      <w:r>
        <w:rPr>
          <w:rFonts w:ascii="仿宋_GB2312" w:eastAsia="仿宋_GB2312" w:hint="eastAsia"/>
          <w:sz w:val="32"/>
          <w:szCs w:val="32"/>
        </w:rPr>
        <w:t>实施</w:t>
      </w:r>
      <w:r w:rsidRPr="00934548">
        <w:rPr>
          <w:rFonts w:ascii="仿宋_GB2312" w:eastAsia="仿宋_GB2312"/>
          <w:sz w:val="32"/>
          <w:szCs w:val="32"/>
        </w:rPr>
        <w:t>化肥农药零增长行动</w:t>
      </w:r>
      <w:r>
        <w:rPr>
          <w:rFonts w:ascii="仿宋_GB2312" w:eastAsia="仿宋_GB2312" w:hint="eastAsia"/>
          <w:sz w:val="32"/>
          <w:szCs w:val="32"/>
        </w:rPr>
        <w:t>；深入开展</w:t>
      </w:r>
      <w:r w:rsidRPr="00934548">
        <w:rPr>
          <w:rFonts w:ascii="仿宋_GB2312" w:eastAsia="仿宋_GB2312"/>
          <w:sz w:val="32"/>
          <w:szCs w:val="32"/>
        </w:rPr>
        <w:t>秸秆资源化利用</w:t>
      </w:r>
      <w:r w:rsidRPr="00934548">
        <w:rPr>
          <w:rFonts w:ascii="仿宋_GB2312" w:eastAsia="仿宋_GB2312" w:hint="eastAsia"/>
          <w:sz w:val="32"/>
          <w:szCs w:val="32"/>
        </w:rPr>
        <w:t>；</w:t>
      </w:r>
      <w:r>
        <w:rPr>
          <w:rFonts w:ascii="仿宋_GB2312" w:eastAsia="仿宋_GB2312" w:hint="eastAsia"/>
          <w:sz w:val="32"/>
          <w:szCs w:val="32"/>
        </w:rPr>
        <w:t>抓好</w:t>
      </w:r>
      <w:r w:rsidRPr="00934548">
        <w:rPr>
          <w:rFonts w:ascii="仿宋_GB2312" w:eastAsia="仿宋_GB2312"/>
          <w:sz w:val="32"/>
          <w:szCs w:val="32"/>
        </w:rPr>
        <w:t>农药废弃包装物和农膜集中处置</w:t>
      </w:r>
      <w:r w:rsidRPr="00934548">
        <w:rPr>
          <w:rFonts w:ascii="仿宋_GB2312" w:eastAsia="仿宋_GB2312" w:hint="eastAsia"/>
          <w:sz w:val="32"/>
          <w:szCs w:val="32"/>
        </w:rPr>
        <w:t>；</w:t>
      </w:r>
      <w:r w:rsidRPr="00934548">
        <w:rPr>
          <w:rFonts w:ascii="仿宋_GB2312" w:eastAsia="仿宋_GB2312"/>
          <w:sz w:val="32"/>
          <w:szCs w:val="32"/>
        </w:rPr>
        <w:t>推进养殖污染防治</w:t>
      </w:r>
      <w:r>
        <w:rPr>
          <w:rFonts w:ascii="仿宋_GB2312" w:eastAsia="仿宋_GB2312" w:hint="eastAsia"/>
          <w:sz w:val="32"/>
          <w:szCs w:val="32"/>
        </w:rPr>
        <w:t>；</w:t>
      </w:r>
      <w:r w:rsidR="002646BE">
        <w:rPr>
          <w:rFonts w:ascii="仿宋_GB2312" w:eastAsia="仿宋_GB2312"/>
          <w:sz w:val="32"/>
          <w:szCs w:val="32"/>
        </w:rPr>
        <w:t>以治理农村生活污水、垃圾为重点，推进农村环境综合整治</w:t>
      </w:r>
      <w:r w:rsidR="002646BE">
        <w:rPr>
          <w:rFonts w:ascii="仿宋_GB2312" w:eastAsia="仿宋_GB2312" w:hint="eastAsia"/>
          <w:sz w:val="32"/>
          <w:szCs w:val="32"/>
        </w:rPr>
        <w:t>；</w:t>
      </w:r>
      <w:r w:rsidR="002646BE" w:rsidRPr="002646BE">
        <w:rPr>
          <w:rFonts w:ascii="仿宋_GB2312" w:eastAsia="仿宋_GB2312" w:hint="eastAsia"/>
          <w:sz w:val="32"/>
          <w:szCs w:val="32"/>
        </w:rPr>
        <w:t>启动农药包装废弃物和废弃农膜回收处理工作</w:t>
      </w:r>
      <w:r w:rsidR="002646BE">
        <w:rPr>
          <w:rFonts w:ascii="仿宋_GB2312" w:eastAsia="仿宋_GB2312" w:hint="eastAsia"/>
          <w:sz w:val="32"/>
          <w:szCs w:val="32"/>
        </w:rPr>
        <w:t>。</w:t>
      </w:r>
    </w:p>
    <w:p w:rsidR="00FC6E87" w:rsidRDefault="00FC6E87" w:rsidP="00FC6E87">
      <w:pPr>
        <w:ind w:firstLineChars="200" w:firstLine="640"/>
        <w:rPr>
          <w:rFonts w:ascii="仿宋_GB2312" w:eastAsia="仿宋_GB2312"/>
          <w:sz w:val="32"/>
          <w:szCs w:val="32"/>
        </w:rPr>
      </w:pPr>
      <w:r>
        <w:rPr>
          <w:rFonts w:ascii="仿宋_GB2312" w:eastAsia="仿宋_GB2312" w:hint="eastAsia"/>
          <w:sz w:val="32"/>
          <w:szCs w:val="32"/>
        </w:rPr>
        <w:t>十</w:t>
      </w:r>
      <w:r w:rsidR="002646BE">
        <w:rPr>
          <w:rFonts w:ascii="仿宋_GB2312" w:eastAsia="仿宋_GB2312" w:hint="eastAsia"/>
          <w:sz w:val="32"/>
          <w:szCs w:val="32"/>
        </w:rPr>
        <w:t>二</w:t>
      </w:r>
      <w:r>
        <w:rPr>
          <w:rFonts w:ascii="仿宋_GB2312" w:eastAsia="仿宋_GB2312" w:hint="eastAsia"/>
          <w:sz w:val="32"/>
          <w:szCs w:val="32"/>
        </w:rPr>
        <w:t>、</w:t>
      </w:r>
      <w:r w:rsidRPr="00E71A8E">
        <w:rPr>
          <w:rFonts w:ascii="仿宋_GB2312" w:eastAsia="仿宋_GB2312" w:hAnsi="仿宋" w:cs="仿宋_GB2312"/>
          <w:sz w:val="32"/>
          <w:szCs w:val="32"/>
        </w:rPr>
        <w:t>全面推进黑土地保护行动</w:t>
      </w:r>
      <w:r w:rsidRPr="00E71A8E">
        <w:rPr>
          <w:rFonts w:ascii="仿宋_GB2312" w:eastAsia="仿宋_GB2312" w:hAnsi="仿宋" w:cs="仿宋_GB2312" w:hint="eastAsia"/>
          <w:sz w:val="32"/>
          <w:szCs w:val="32"/>
        </w:rPr>
        <w:t>，</w:t>
      </w:r>
      <w:r w:rsidRPr="00E71A8E">
        <w:rPr>
          <w:rFonts w:ascii="仿宋_GB2312" w:eastAsia="仿宋_GB2312" w:hAnsi="仿宋" w:cs="仿宋_GB2312"/>
          <w:sz w:val="32"/>
          <w:szCs w:val="32"/>
        </w:rPr>
        <w:t>开展耕地轮作等黑土地保护利用试点工程，</w:t>
      </w:r>
      <w:r w:rsidRPr="00E71A8E">
        <w:rPr>
          <w:rFonts w:ascii="仿宋_GB2312" w:eastAsia="仿宋_GB2312" w:hAnsi="仿宋" w:cs="仿宋_GB2312" w:hint="eastAsia"/>
          <w:sz w:val="32"/>
          <w:szCs w:val="32"/>
        </w:rPr>
        <w:t>完成市里下达的试点面积</w:t>
      </w:r>
      <w:r>
        <w:rPr>
          <w:rFonts w:ascii="仿宋_GB2312" w:eastAsia="仿宋_GB2312" w:hAnsi="仿宋" w:cs="仿宋_GB2312" w:hint="eastAsia"/>
          <w:sz w:val="32"/>
          <w:szCs w:val="32"/>
        </w:rPr>
        <w:t>目标</w:t>
      </w:r>
      <w:r w:rsidRPr="00E71A8E">
        <w:rPr>
          <w:rFonts w:ascii="仿宋_GB2312" w:eastAsia="仿宋_GB2312" w:hAnsi="仿宋" w:cs="仿宋_GB2312" w:hint="eastAsia"/>
          <w:sz w:val="32"/>
          <w:szCs w:val="32"/>
        </w:rPr>
        <w:t>。</w:t>
      </w:r>
    </w:p>
    <w:p w:rsidR="00FC6E87" w:rsidRDefault="00FC6E87" w:rsidP="00FC6E87">
      <w:pPr>
        <w:ind w:firstLineChars="200" w:firstLine="640"/>
        <w:rPr>
          <w:rFonts w:ascii="仿宋_GB2312" w:eastAsia="仿宋_GB2312"/>
          <w:sz w:val="32"/>
          <w:szCs w:val="32"/>
        </w:rPr>
      </w:pPr>
      <w:r>
        <w:rPr>
          <w:rFonts w:ascii="仿宋_GB2312" w:eastAsia="仿宋_GB2312" w:hint="eastAsia"/>
          <w:sz w:val="32"/>
          <w:szCs w:val="32"/>
        </w:rPr>
        <w:t>十</w:t>
      </w:r>
      <w:r w:rsidR="002646BE">
        <w:rPr>
          <w:rFonts w:ascii="仿宋_GB2312" w:eastAsia="仿宋_GB2312" w:hint="eastAsia"/>
          <w:sz w:val="32"/>
          <w:szCs w:val="32"/>
        </w:rPr>
        <w:t>三</w:t>
      </w:r>
      <w:r>
        <w:rPr>
          <w:rFonts w:ascii="仿宋_GB2312" w:eastAsia="仿宋_GB2312" w:hint="eastAsia"/>
          <w:sz w:val="32"/>
          <w:szCs w:val="32"/>
        </w:rPr>
        <w:t>、</w:t>
      </w:r>
      <w:r w:rsidRPr="00E71A8E">
        <w:rPr>
          <w:rFonts w:ascii="仿宋_GB2312" w:eastAsia="仿宋_GB2312" w:hAnsi="仿宋" w:cs="仿宋_GB2312" w:hint="eastAsia"/>
          <w:sz w:val="32"/>
          <w:szCs w:val="32"/>
        </w:rPr>
        <w:t>考核评价</w:t>
      </w:r>
      <w:r>
        <w:rPr>
          <w:rFonts w:ascii="仿宋_GB2312" w:eastAsia="仿宋_GB2312" w:hAnsi="仿宋" w:cs="仿宋_GB2312" w:hint="eastAsia"/>
          <w:sz w:val="32"/>
          <w:szCs w:val="32"/>
        </w:rPr>
        <w:t>。</w:t>
      </w:r>
      <w:r>
        <w:rPr>
          <w:rFonts w:ascii="仿宋_GB2312" w:eastAsia="仿宋_GB2312" w:hint="eastAsia"/>
          <w:sz w:val="32"/>
          <w:szCs w:val="32"/>
        </w:rPr>
        <w:t>长春市人民政府对本责任书完成情况进行考核，考核结果纳入长春市人民政府环境保护目标责任书及长春市人民政府绩效考核评价体系，同时作为对领导班子和领导干部综合考核评价的重要依据。</w:t>
      </w:r>
    </w:p>
    <w:sectPr w:rsidR="00FC6E87" w:rsidSect="0090692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41B1" w:rsidRDefault="00E641B1" w:rsidP="00894AC9">
      <w:r>
        <w:separator/>
      </w:r>
    </w:p>
  </w:endnote>
  <w:endnote w:type="continuationSeparator" w:id="1">
    <w:p w:rsidR="00E641B1" w:rsidRDefault="00E641B1" w:rsidP="00894AC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41B1" w:rsidRDefault="00E641B1" w:rsidP="00894AC9">
      <w:r>
        <w:separator/>
      </w:r>
    </w:p>
  </w:footnote>
  <w:footnote w:type="continuationSeparator" w:id="1">
    <w:p w:rsidR="00E641B1" w:rsidRDefault="00E641B1" w:rsidP="00894AC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C6E87"/>
    <w:rsid w:val="00090BA2"/>
    <w:rsid w:val="001F3FB2"/>
    <w:rsid w:val="002646BE"/>
    <w:rsid w:val="002B1B0E"/>
    <w:rsid w:val="004F6D2C"/>
    <w:rsid w:val="006722F5"/>
    <w:rsid w:val="00894AC9"/>
    <w:rsid w:val="00906920"/>
    <w:rsid w:val="00AE3F24"/>
    <w:rsid w:val="00B10291"/>
    <w:rsid w:val="00E57511"/>
    <w:rsid w:val="00E641B1"/>
    <w:rsid w:val="00E90BC2"/>
    <w:rsid w:val="00F25548"/>
    <w:rsid w:val="00FC251F"/>
    <w:rsid w:val="00FC6E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E8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94A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94AC9"/>
    <w:rPr>
      <w:sz w:val="18"/>
      <w:szCs w:val="18"/>
    </w:rPr>
  </w:style>
  <w:style w:type="paragraph" w:styleId="a4">
    <w:name w:val="footer"/>
    <w:basedOn w:val="a"/>
    <w:link w:val="Char0"/>
    <w:uiPriority w:val="99"/>
    <w:semiHidden/>
    <w:unhideWhenUsed/>
    <w:rsid w:val="00894AC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94AC9"/>
    <w:rPr>
      <w:sz w:val="18"/>
      <w:szCs w:val="18"/>
    </w:rPr>
  </w:style>
  <w:style w:type="character" w:customStyle="1" w:styleId="Char1">
    <w:name w:val="纯文本 Char"/>
    <w:aliases w:val="Char Char Char Char3,Char Char Char Char1 Char Char Char2,Char Char Char Char1 Char1,Char Char Char Char1 Char Char Char Char2,Char Char Char Char Char1,Char Char Char Char1 Char Char Char Char Char1"/>
    <w:basedOn w:val="a0"/>
    <w:link w:val="a5"/>
    <w:semiHidden/>
    <w:locked/>
    <w:rsid w:val="00E57511"/>
    <w:rPr>
      <w:rFonts w:ascii="宋体" w:eastAsia="宋体" w:hAnsi="Courier New" w:cs="Times New Roman"/>
      <w:szCs w:val="20"/>
    </w:rPr>
  </w:style>
  <w:style w:type="paragraph" w:styleId="a5">
    <w:name w:val="Plain Text"/>
    <w:aliases w:val="Char Char Char,Char Char Char Char1 Char Char,Char Char Char Char1,Char Char Char Char1 Char Char Char,Char Char Char Char,Char Char Char Char1 Char Char Char Char"/>
    <w:basedOn w:val="a"/>
    <w:link w:val="Char1"/>
    <w:semiHidden/>
    <w:unhideWhenUsed/>
    <w:rsid w:val="00E57511"/>
    <w:rPr>
      <w:rFonts w:ascii="宋体" w:eastAsia="宋体" w:hAnsi="Courier New" w:cs="Times New Roman"/>
      <w:szCs w:val="20"/>
    </w:rPr>
  </w:style>
  <w:style w:type="character" w:customStyle="1" w:styleId="Char10">
    <w:name w:val="纯文本 Char1"/>
    <w:basedOn w:val="a0"/>
    <w:link w:val="a5"/>
    <w:uiPriority w:val="99"/>
    <w:semiHidden/>
    <w:rsid w:val="00E57511"/>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divs>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246</Words>
  <Characters>1407</Characters>
  <Application>Microsoft Office Word</Application>
  <DocSecurity>0</DocSecurity>
  <Lines>11</Lines>
  <Paragraphs>3</Paragraphs>
  <ScaleCrop>false</ScaleCrop>
  <Company>MS</Company>
  <LinksUpToDate>false</LinksUpToDate>
  <CharactersWithSpaces>1650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2017-03-12T02:22:00Z</cp:lastPrinted>
  <dcterms:created xsi:type="dcterms:W3CDTF">2017-03-12T03:51:00Z</dcterms:created>
  <dcterms:modified xsi:type="dcterms:W3CDTF">2017-03-13T06:21:00Z</dcterms:modified>
</cp:coreProperties>
</file>